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8" w:rsidRDefault="008934C8">
      <w:pPr>
        <w:rPr>
          <w:b/>
        </w:rPr>
      </w:pPr>
      <w:bookmarkStart w:id="0" w:name="_GoBack"/>
      <w:bookmarkEnd w:id="0"/>
      <w:r>
        <w:rPr>
          <w:b/>
        </w:rPr>
        <w:t>Appendix 4</w:t>
      </w:r>
    </w:p>
    <w:p w:rsidR="008934C8" w:rsidRDefault="008934C8">
      <w:pPr>
        <w:rPr>
          <w:b/>
        </w:rPr>
      </w:pPr>
    </w:p>
    <w:p w:rsidR="00012DAC" w:rsidRPr="00012DAC" w:rsidRDefault="00012DAC">
      <w:pPr>
        <w:rPr>
          <w:b/>
        </w:rPr>
      </w:pPr>
      <w:r w:rsidRPr="00012DAC">
        <w:rPr>
          <w:b/>
        </w:rPr>
        <w:t xml:space="preserve">Grants Programme Equality Impact Assessment </w:t>
      </w:r>
    </w:p>
    <w:p w:rsidR="00B7293A" w:rsidRDefault="00784B56">
      <w:r w:rsidRPr="00784B56">
        <w:t xml:space="preserve">The following Equalities Analysis has informed the development of this proposal on the future of the grants programme and </w:t>
      </w:r>
      <w:r w:rsidR="002C0BD0">
        <w:t>considers impact and likely impact in relation to the</w:t>
      </w:r>
      <w:r w:rsidR="00FE0448">
        <w:t xml:space="preserve"> nine protected characteristics </w:t>
      </w:r>
      <w:r w:rsidR="001D6FFE">
        <w:t xml:space="preserve">of the </w:t>
      </w:r>
      <w:r w:rsidR="002C0BD0">
        <w:t>Equality Act 2010</w:t>
      </w:r>
      <w:r w:rsidR="001D6FFE">
        <w:t xml:space="preserve">. </w:t>
      </w:r>
      <w:r w:rsidR="00FE0448">
        <w:t xml:space="preserve">The Public Sector Equality Duty that is set out in the Equality Act 2010 </w:t>
      </w:r>
      <w:r w:rsidR="00B7293A">
        <w:t>requires public authorities to have due regard to the need to</w:t>
      </w:r>
      <w:r w:rsidR="00FE0448">
        <w:t>:</w:t>
      </w:r>
    </w:p>
    <w:p w:rsidR="00B7293A" w:rsidRDefault="00B7293A" w:rsidP="00B7293A">
      <w:pPr>
        <w:pStyle w:val="ListParagraph"/>
        <w:numPr>
          <w:ilvl w:val="0"/>
          <w:numId w:val="9"/>
        </w:numPr>
      </w:pPr>
      <w:r>
        <w:t>Eliminate unlawful discrimination</w:t>
      </w:r>
    </w:p>
    <w:p w:rsidR="00B7293A" w:rsidRDefault="00B7293A" w:rsidP="00B7293A">
      <w:pPr>
        <w:pStyle w:val="ListParagraph"/>
        <w:numPr>
          <w:ilvl w:val="0"/>
          <w:numId w:val="9"/>
        </w:numPr>
      </w:pPr>
      <w:r>
        <w:t>Advance equality of opportunity</w:t>
      </w:r>
    </w:p>
    <w:p w:rsidR="00B7293A" w:rsidRDefault="00B7293A" w:rsidP="00B7293A">
      <w:pPr>
        <w:pStyle w:val="ListParagraph"/>
        <w:numPr>
          <w:ilvl w:val="0"/>
          <w:numId w:val="9"/>
        </w:numPr>
      </w:pPr>
      <w:r>
        <w:t xml:space="preserve">Foster good relations between people who share a protected characteristic and those who do not.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206"/>
        <w:gridCol w:w="2288"/>
        <w:gridCol w:w="2552"/>
      </w:tblGrid>
      <w:tr w:rsidR="00325533" w:rsidTr="00B7293A">
        <w:tc>
          <w:tcPr>
            <w:tcW w:w="2196" w:type="dxa"/>
          </w:tcPr>
          <w:p w:rsidR="003B3342" w:rsidRPr="00012DAC" w:rsidRDefault="003B3342" w:rsidP="00784B56">
            <w:pPr>
              <w:rPr>
                <w:b/>
              </w:rPr>
            </w:pPr>
            <w:r w:rsidRPr="00012DAC">
              <w:rPr>
                <w:b/>
              </w:rPr>
              <w:t>Equality Group</w:t>
            </w:r>
            <w:r w:rsidR="00784B56">
              <w:rPr>
                <w:b/>
              </w:rPr>
              <w:t xml:space="preserve"> Protected characteristics  </w:t>
            </w:r>
          </w:p>
        </w:tc>
        <w:tc>
          <w:tcPr>
            <w:tcW w:w="2206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t>Key Inequalities</w:t>
            </w:r>
            <w:r w:rsidR="00784B56">
              <w:rPr>
                <w:b/>
              </w:rPr>
              <w:t xml:space="preserve"> in Oxford </w:t>
            </w:r>
          </w:p>
        </w:tc>
        <w:tc>
          <w:tcPr>
            <w:tcW w:w="2288" w:type="dxa"/>
          </w:tcPr>
          <w:p w:rsidR="003B3342" w:rsidRPr="00012DAC" w:rsidRDefault="003B3342" w:rsidP="003B3342">
            <w:pPr>
              <w:rPr>
                <w:b/>
              </w:rPr>
            </w:pPr>
            <w:r w:rsidRPr="00012DAC">
              <w:rPr>
                <w:b/>
              </w:rPr>
              <w:t>Specific Barriers</w:t>
            </w:r>
          </w:p>
        </w:tc>
        <w:tc>
          <w:tcPr>
            <w:tcW w:w="2552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t xml:space="preserve">Implications </w:t>
            </w:r>
            <w:r w:rsidR="00784B56">
              <w:rPr>
                <w:b/>
              </w:rPr>
              <w:t xml:space="preserve"> for the grants programme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t>Age</w:t>
            </w:r>
          </w:p>
        </w:tc>
        <w:tc>
          <w:tcPr>
            <w:tcW w:w="2206" w:type="dxa"/>
          </w:tcPr>
          <w:p w:rsidR="003B3342" w:rsidRDefault="003B3342"/>
          <w:p w:rsidR="00590AD2" w:rsidRDefault="00590AD2" w:rsidP="00590AD2">
            <w:r>
              <w:t>Income deprivation for older people – Barton, Rose Hill, Northfield Brook are amongst 20% most deprived</w:t>
            </w:r>
          </w:p>
          <w:p w:rsidR="00590AD2" w:rsidRDefault="00590AD2" w:rsidP="00590AD2"/>
          <w:p w:rsidR="00590AD2" w:rsidRDefault="00590AD2" w:rsidP="005266F3">
            <w:r>
              <w:t>Acute child poverty in parts of the city</w:t>
            </w:r>
            <w:r w:rsidR="005266F3">
              <w:t xml:space="preserve"> e.g. Rose Hill where 45% of children aged 0-15 are affected</w:t>
            </w:r>
            <w:r w:rsidR="002C4C95">
              <w:t xml:space="preserve"> – compared to Summertown.</w:t>
            </w:r>
            <w:r w:rsidR="005266F3">
              <w:t xml:space="preserve">  </w:t>
            </w:r>
            <w:r>
              <w:t xml:space="preserve"> </w:t>
            </w:r>
          </w:p>
          <w:p w:rsidR="00966CC0" w:rsidRDefault="00966CC0" w:rsidP="005266F3"/>
          <w:p w:rsidR="00966CC0" w:rsidRDefault="00966CC0" w:rsidP="00966CC0">
            <w:r>
              <w:t xml:space="preserve"> </w:t>
            </w:r>
          </w:p>
        </w:tc>
        <w:tc>
          <w:tcPr>
            <w:tcW w:w="2288" w:type="dxa"/>
          </w:tcPr>
          <w:p w:rsidR="003B3342" w:rsidRDefault="0050193C" w:rsidP="002C4C95">
            <w:r>
              <w:t>Isolation</w:t>
            </w:r>
            <w:r w:rsidR="00D35F64">
              <w:t xml:space="preserve"> - due</w:t>
            </w:r>
            <w:r w:rsidR="002C4C95">
              <w:t xml:space="preserve"> to lack of income, reduced mobility/ transport links increases limited access to </w:t>
            </w:r>
            <w:r w:rsidR="00553FC1">
              <w:t>i</w:t>
            </w:r>
            <w:r w:rsidR="002C4C95">
              <w:t xml:space="preserve">nformation/resources, less social interaction with neighbours, single older people living alone. </w:t>
            </w:r>
          </w:p>
          <w:p w:rsidR="002C4C95" w:rsidRDefault="002C4C95" w:rsidP="002C4C95"/>
          <w:p w:rsidR="002C4C95" w:rsidRDefault="002C4C95" w:rsidP="002C4C95">
            <w:r>
              <w:t>Child development/Life chances/opportunities are severely reduced by</w:t>
            </w:r>
            <w:r w:rsidR="002173F6">
              <w:t xml:space="preserve"> famil</w:t>
            </w:r>
            <w:r w:rsidR="006E3292">
              <w:t xml:space="preserve">ies difficult  </w:t>
            </w:r>
            <w:r w:rsidR="002173F6">
              <w:t xml:space="preserve"> circumstances</w:t>
            </w:r>
            <w:r>
              <w:t xml:space="preserve"> </w:t>
            </w:r>
          </w:p>
          <w:p w:rsidR="002C4C95" w:rsidRDefault="002C4C95" w:rsidP="002C4C95"/>
        </w:tc>
        <w:tc>
          <w:tcPr>
            <w:tcW w:w="2552" w:type="dxa"/>
          </w:tcPr>
          <w:p w:rsidR="002173F6" w:rsidRDefault="002173F6" w:rsidP="002173F6">
            <w:r>
              <w:t>Enable older people’s participation via initiatives tackling isolation e.g. Digital Inclusion for older people.</w:t>
            </w:r>
            <w:r w:rsidR="00784B56">
              <w:t xml:space="preserve">  With ‘Good Neighbour’ type outreach steps to older people who are housebound  </w:t>
            </w:r>
          </w:p>
          <w:p w:rsidR="002173F6" w:rsidRDefault="002173F6" w:rsidP="002173F6"/>
          <w:p w:rsidR="003B3342" w:rsidRDefault="001F006D" w:rsidP="00E747E9">
            <w:r>
              <w:t xml:space="preserve">Recent cuts in children’s services will increase demand for activities engaging </w:t>
            </w:r>
            <w:r w:rsidR="002173F6">
              <w:t>children</w:t>
            </w:r>
            <w:r w:rsidR="00CF2748">
              <w:t xml:space="preserve">, and </w:t>
            </w:r>
            <w:r w:rsidR="002173F6">
              <w:t>young people</w:t>
            </w:r>
            <w:r w:rsidR="00CF2748">
              <w:t xml:space="preserve"> affected by multiple disadvantage</w:t>
            </w:r>
            <w:r>
              <w:t>.</w:t>
            </w:r>
            <w:r w:rsidR="00784B56">
              <w:t xml:space="preserve"> A need to actively target schools is required</w:t>
            </w:r>
            <w:r w:rsidR="00E747E9">
              <w:t xml:space="preserve"> to supplement direct marketing to disadvantaged families.</w:t>
            </w:r>
            <w:r w:rsidR="00784B56">
              <w:t xml:space="preserve">   </w:t>
            </w:r>
            <w:r w:rsidR="00CF2748">
              <w:t xml:space="preserve">  </w:t>
            </w:r>
            <w:r w:rsidR="002173F6">
              <w:t xml:space="preserve">  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t>Disability</w:t>
            </w:r>
          </w:p>
        </w:tc>
        <w:tc>
          <w:tcPr>
            <w:tcW w:w="2206" w:type="dxa"/>
          </w:tcPr>
          <w:p w:rsidR="003B3342" w:rsidRDefault="006E3292" w:rsidP="006E3292">
            <w:r>
              <w:t>1/3 of disabled people unable to access services due to their impairment.</w:t>
            </w:r>
            <w:r w:rsidR="00AE4CA7">
              <w:t xml:space="preserve">  </w:t>
            </w:r>
          </w:p>
          <w:p w:rsidR="006E3292" w:rsidRDefault="006E3292" w:rsidP="006E3292"/>
          <w:p w:rsidR="006E3292" w:rsidRDefault="006E3292" w:rsidP="006E3292">
            <w:r>
              <w:t>21% of children in families with at least one disabled member are in poverty.</w:t>
            </w:r>
          </w:p>
        </w:tc>
        <w:tc>
          <w:tcPr>
            <w:tcW w:w="2288" w:type="dxa"/>
          </w:tcPr>
          <w:p w:rsidR="00E564CA" w:rsidRDefault="00E564CA">
            <w:r>
              <w:t xml:space="preserve">Inaccessible information – lack of alternative formats (both printed &amp; online) </w:t>
            </w:r>
          </w:p>
          <w:p w:rsidR="00E564CA" w:rsidRDefault="00E564CA"/>
          <w:p w:rsidR="00242C10" w:rsidRDefault="00242C10">
            <w:r>
              <w:t xml:space="preserve">Stigma &amp; discrimination   </w:t>
            </w:r>
          </w:p>
          <w:p w:rsidR="00242C10" w:rsidRDefault="00242C10"/>
          <w:p w:rsidR="00E564CA" w:rsidRDefault="00E564CA">
            <w:r>
              <w:t xml:space="preserve">Digital exclusion </w:t>
            </w:r>
            <w:r w:rsidR="001F006D">
              <w:t xml:space="preserve"> -</w:t>
            </w:r>
            <w:r>
              <w:t xml:space="preserve">(‘websites not compatible with ‘screen readers’) </w:t>
            </w:r>
          </w:p>
          <w:p w:rsidR="00E564CA" w:rsidRDefault="00E564CA"/>
          <w:p w:rsidR="003B3342" w:rsidRDefault="00E564CA">
            <w:r>
              <w:t>Inaccessibility of venues</w:t>
            </w:r>
            <w:r w:rsidR="00242C10">
              <w:t>/events for physical &amp; ‘hidden</w:t>
            </w:r>
            <w:r w:rsidR="00D410F8">
              <w:t>’</w:t>
            </w:r>
            <w:r w:rsidR="00242C10">
              <w:t xml:space="preserve"> disabilities </w:t>
            </w:r>
          </w:p>
        </w:tc>
        <w:tc>
          <w:tcPr>
            <w:tcW w:w="2552" w:type="dxa"/>
          </w:tcPr>
          <w:p w:rsidR="003B3342" w:rsidRDefault="00DE02BD">
            <w:r>
              <w:lastRenderedPageBreak/>
              <w:t xml:space="preserve">Ensure </w:t>
            </w:r>
            <w:r w:rsidR="00242C10">
              <w:t>Accessible Information</w:t>
            </w:r>
            <w:r>
              <w:t xml:space="preserve"> is</w:t>
            </w:r>
            <w:r w:rsidR="00242C10">
              <w:t xml:space="preserve"> provided.</w:t>
            </w:r>
          </w:p>
          <w:p w:rsidR="00242C10" w:rsidRDefault="00242C10"/>
          <w:p w:rsidR="0023541E" w:rsidRDefault="0023541E" w:rsidP="0023541E">
            <w:r>
              <w:t xml:space="preserve">How are </w:t>
            </w:r>
            <w:r w:rsidR="001F006D">
              <w:t>pr</w:t>
            </w:r>
            <w:r w:rsidR="00242C10">
              <w:t>ojects</w:t>
            </w:r>
            <w:r w:rsidR="001F006D">
              <w:t xml:space="preserve"> considering</w:t>
            </w:r>
            <w:r>
              <w:t xml:space="preserve"> the </w:t>
            </w:r>
            <w:r w:rsidR="00242C10">
              <w:t>need to accommodat</w:t>
            </w:r>
            <w:r w:rsidR="001F006D">
              <w:t>e</w:t>
            </w:r>
            <w:r w:rsidR="00242C10">
              <w:t xml:space="preserve"> carers, support workers or personal assistants</w:t>
            </w:r>
            <w:r>
              <w:t xml:space="preserve">, </w:t>
            </w:r>
            <w:r w:rsidR="00E747E9">
              <w:t xml:space="preserve">and </w:t>
            </w:r>
            <w:r>
              <w:t>make use of accessible facilities</w:t>
            </w:r>
            <w:r w:rsidR="00E747E9">
              <w:t>?</w:t>
            </w:r>
          </w:p>
          <w:p w:rsidR="0023541E" w:rsidRDefault="0023541E" w:rsidP="0023541E"/>
          <w:p w:rsidR="0023541E" w:rsidRDefault="0023541E" w:rsidP="0023541E">
            <w:r>
              <w:t xml:space="preserve">Consider helping grant </w:t>
            </w:r>
            <w:r>
              <w:lastRenderedPageBreak/>
              <w:t>recipients to better reach out to disabled people through partnering with disability trainers.</w:t>
            </w:r>
          </w:p>
          <w:p w:rsidR="0023541E" w:rsidRDefault="0023541E" w:rsidP="0023541E">
            <w:r>
              <w:t xml:space="preserve"> </w:t>
            </w:r>
          </w:p>
          <w:p w:rsidR="00242C10" w:rsidRDefault="00850012" w:rsidP="0023541E">
            <w:r>
              <w:t xml:space="preserve">  </w:t>
            </w:r>
            <w:r w:rsidR="00242C10">
              <w:t xml:space="preserve"> 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 w:rsidP="003B3342">
            <w:pPr>
              <w:rPr>
                <w:b/>
              </w:rPr>
            </w:pPr>
            <w:r w:rsidRPr="00012DAC">
              <w:rPr>
                <w:b/>
              </w:rPr>
              <w:lastRenderedPageBreak/>
              <w:t>Gender Reassignment</w:t>
            </w:r>
          </w:p>
        </w:tc>
        <w:tc>
          <w:tcPr>
            <w:tcW w:w="2206" w:type="dxa"/>
          </w:tcPr>
          <w:p w:rsidR="003B3342" w:rsidRDefault="00807E22" w:rsidP="00807E22">
            <w:r>
              <w:t>Being transgender linked to greater risk of self-harm &amp; thoughts of suicide (JSNA, 2016).</w:t>
            </w:r>
          </w:p>
          <w:p w:rsidR="00966CC0" w:rsidRDefault="00966CC0" w:rsidP="00807E22"/>
          <w:p w:rsidR="00966CC0" w:rsidRDefault="00966CC0" w:rsidP="001F006D">
            <w:r>
              <w:t>National data indicates that Trans children &amp; young people are a particularly vulnerable to bullying</w:t>
            </w:r>
          </w:p>
        </w:tc>
        <w:tc>
          <w:tcPr>
            <w:tcW w:w="2288" w:type="dxa"/>
          </w:tcPr>
          <w:p w:rsidR="003B3342" w:rsidRDefault="004B64CA" w:rsidP="004B64CA">
            <w:r>
              <w:t>Due to stigma &amp; discrimination many Trans and non-binary people are anxious about disclosing their status.</w:t>
            </w:r>
          </w:p>
        </w:tc>
        <w:tc>
          <w:tcPr>
            <w:tcW w:w="2552" w:type="dxa"/>
          </w:tcPr>
          <w:p w:rsidR="00C44AB3" w:rsidRDefault="00C44AB3">
            <w:r>
              <w:t xml:space="preserve">Need to ensure confidentiality is respected. </w:t>
            </w:r>
            <w:r w:rsidR="009F0869">
              <w:t>Grants Programme respects any request for anonymity &amp; updates records to include chosen name &amp; sex identified by the individual at an appropriate time.</w:t>
            </w:r>
          </w:p>
          <w:p w:rsidR="00C44AB3" w:rsidRDefault="00C44AB3"/>
          <w:p w:rsidR="003B3342" w:rsidRDefault="00C44AB3" w:rsidP="00F516CF">
            <w:r>
              <w:t>Are funded projects creating</w:t>
            </w:r>
            <w:r w:rsidR="00F516CF">
              <w:t xml:space="preserve"> Trans-</w:t>
            </w:r>
            <w:r>
              <w:t xml:space="preserve"> inclusive &amp; supportive environments?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t>Marriage &amp; Civil Partnership</w:t>
            </w:r>
          </w:p>
        </w:tc>
        <w:tc>
          <w:tcPr>
            <w:tcW w:w="2206" w:type="dxa"/>
          </w:tcPr>
          <w:p w:rsidR="00807E22" w:rsidRDefault="00EE4AAF" w:rsidP="00EE4AAF">
            <w:r>
              <w:t>32.9% of Oxford residents were married at time of 2011 Census, whilst over half 53.8% were single.</w:t>
            </w:r>
          </w:p>
          <w:p w:rsidR="00807E22" w:rsidRDefault="00807E22" w:rsidP="00EE4AAF"/>
          <w:p w:rsidR="003B3342" w:rsidRDefault="00EE4AAF" w:rsidP="00EE4AAF">
            <w:r>
              <w:t>Across Oxfordshire 60-70 civil partnerships were formed each year between 2008 and 2013.</w:t>
            </w:r>
          </w:p>
        </w:tc>
        <w:tc>
          <w:tcPr>
            <w:tcW w:w="2288" w:type="dxa"/>
          </w:tcPr>
          <w:p w:rsidR="003B3342" w:rsidRDefault="003B3342"/>
        </w:tc>
        <w:tc>
          <w:tcPr>
            <w:tcW w:w="2552" w:type="dxa"/>
          </w:tcPr>
          <w:p w:rsidR="003B3342" w:rsidRDefault="00F516CF" w:rsidP="00F516CF">
            <w:r>
              <w:t xml:space="preserve">No available evidence to suggest this is a particular concern. Consider monitoring this in play and stay activities for the future.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 w:rsidP="003B3342">
            <w:pPr>
              <w:rPr>
                <w:b/>
              </w:rPr>
            </w:pPr>
            <w:r w:rsidRPr="00012DAC">
              <w:rPr>
                <w:b/>
              </w:rPr>
              <w:t>Pregnancy &amp; Maternity</w:t>
            </w:r>
          </w:p>
        </w:tc>
        <w:tc>
          <w:tcPr>
            <w:tcW w:w="2206" w:type="dxa"/>
          </w:tcPr>
          <w:p w:rsidR="003B3342" w:rsidRDefault="00807E22">
            <w:r>
              <w:t>77% of Women experience negative treatment.</w:t>
            </w:r>
          </w:p>
          <w:p w:rsidR="00807E22" w:rsidRDefault="00807E22"/>
          <w:p w:rsidR="00807E22" w:rsidRDefault="00F516CF" w:rsidP="00F516CF">
            <w:r>
              <w:t>Certain ethnic groups and d</w:t>
            </w:r>
            <w:r w:rsidR="006E3292">
              <w:t xml:space="preserve">eprivation linked to </w:t>
            </w:r>
            <w:r>
              <w:t xml:space="preserve">higher rates of </w:t>
            </w:r>
            <w:r w:rsidR="006E3292">
              <w:t xml:space="preserve">still birth and neonatal death. </w:t>
            </w:r>
            <w:r w:rsidR="00807E22">
              <w:t xml:space="preserve"> </w:t>
            </w:r>
          </w:p>
        </w:tc>
        <w:tc>
          <w:tcPr>
            <w:tcW w:w="2288" w:type="dxa"/>
          </w:tcPr>
          <w:p w:rsidR="003B3342" w:rsidRDefault="00031B18" w:rsidP="00031B18">
            <w:r>
              <w:t>Participation for people with caring responsibilities</w:t>
            </w:r>
            <w:r w:rsidR="00EE01D0">
              <w:t xml:space="preserve"> greatly reduced. Time poverty pressures inhibit opportunities to access information.  </w:t>
            </w:r>
            <w:r>
              <w:t xml:space="preserve"> </w:t>
            </w:r>
          </w:p>
        </w:tc>
        <w:tc>
          <w:tcPr>
            <w:tcW w:w="2552" w:type="dxa"/>
          </w:tcPr>
          <w:p w:rsidR="003B3342" w:rsidRDefault="00EE01D0" w:rsidP="00F516CF">
            <w:r>
              <w:t>Are grant funded events being organised in a way which is accessible to those who are caring for children</w:t>
            </w:r>
            <w:r w:rsidR="00F03A37">
              <w:t>, and time poor</w:t>
            </w:r>
            <w:r>
              <w:t xml:space="preserve"> e.g. providing facilities for children &amp; </w:t>
            </w:r>
            <w:r w:rsidR="00671A92">
              <w:t xml:space="preserve">support </w:t>
            </w:r>
            <w:r>
              <w:t xml:space="preserve">for women who are breastfeeding?  </w:t>
            </w:r>
          </w:p>
        </w:tc>
      </w:tr>
      <w:tr w:rsidR="00325533" w:rsidTr="00B7293A">
        <w:tc>
          <w:tcPr>
            <w:tcW w:w="2196" w:type="dxa"/>
          </w:tcPr>
          <w:p w:rsidR="003B3342" w:rsidRDefault="003B3342" w:rsidP="003B3342">
            <w:r w:rsidRPr="00012DAC">
              <w:rPr>
                <w:b/>
              </w:rPr>
              <w:t>Gender</w:t>
            </w:r>
          </w:p>
        </w:tc>
        <w:tc>
          <w:tcPr>
            <w:tcW w:w="2206" w:type="dxa"/>
          </w:tcPr>
          <w:p w:rsidR="00D410F8" w:rsidRDefault="00D410F8" w:rsidP="00363693">
            <w:r>
              <w:t xml:space="preserve">Almost 14% gender pay gap in Oxford </w:t>
            </w:r>
            <w:r w:rsidR="004B0809">
              <w:t xml:space="preserve"> - women at greater risk of poverty than Men  </w:t>
            </w:r>
          </w:p>
          <w:p w:rsidR="00D410F8" w:rsidRDefault="00D410F8" w:rsidP="00363693"/>
          <w:p w:rsidR="006E3292" w:rsidRDefault="006E3292" w:rsidP="00363693">
            <w:r>
              <w:t xml:space="preserve">Pakistani &amp; Bangladeshi  women experience the largest </w:t>
            </w:r>
            <w:r>
              <w:lastRenderedPageBreak/>
              <w:t xml:space="preserve">gender </w:t>
            </w:r>
            <w:r w:rsidR="005F7762">
              <w:t>pay gap at 26.2%</w:t>
            </w:r>
          </w:p>
          <w:p w:rsidR="006E3292" w:rsidRDefault="006E3292" w:rsidP="00363693"/>
          <w:p w:rsidR="00363693" w:rsidRDefault="00363693" w:rsidP="00363693">
            <w:r>
              <w:t>Women (including working women) undertake more caring/domestic duties – e.g. 70% of housework.</w:t>
            </w:r>
          </w:p>
          <w:p w:rsidR="00363693" w:rsidRDefault="00363693" w:rsidP="00363693"/>
          <w:p w:rsidR="003B3342" w:rsidRDefault="00363693" w:rsidP="005F7762">
            <w:r>
              <w:t>Gender based violence against Women and girls</w:t>
            </w:r>
            <w:r w:rsidR="005F7762">
              <w:t>.</w:t>
            </w:r>
            <w:r>
              <w:t xml:space="preserve">       </w:t>
            </w:r>
          </w:p>
        </w:tc>
        <w:tc>
          <w:tcPr>
            <w:tcW w:w="2288" w:type="dxa"/>
          </w:tcPr>
          <w:p w:rsidR="00394538" w:rsidRDefault="0035662F">
            <w:r>
              <w:lastRenderedPageBreak/>
              <w:t xml:space="preserve"> Work, domestic &amp; caring responsibilities - Time poverty limits access to information and ability to participate </w:t>
            </w:r>
          </w:p>
          <w:p w:rsidR="00394538" w:rsidRDefault="00394538"/>
          <w:p w:rsidR="00394538" w:rsidRDefault="00A56F07">
            <w:r>
              <w:t xml:space="preserve">Women </w:t>
            </w:r>
            <w:r>
              <w:lastRenderedPageBreak/>
              <w:t xml:space="preserve">underrepresented in networks/decision making - Public events can be dominated by men  </w:t>
            </w:r>
          </w:p>
          <w:p w:rsidR="00394538" w:rsidRDefault="00394538"/>
          <w:p w:rsidR="00394538" w:rsidRDefault="00394538"/>
          <w:p w:rsidR="003B3342" w:rsidRDefault="00394538" w:rsidP="004B0809">
            <w:r>
              <w:t xml:space="preserve">Traditional views which </w:t>
            </w:r>
            <w:r w:rsidR="004B0809">
              <w:t>see Women having a primarily domestic role can limit participation.</w:t>
            </w:r>
            <w:r>
              <w:t xml:space="preserve"> </w:t>
            </w:r>
          </w:p>
        </w:tc>
        <w:tc>
          <w:tcPr>
            <w:tcW w:w="2552" w:type="dxa"/>
          </w:tcPr>
          <w:p w:rsidR="007552C8" w:rsidRDefault="00E56593" w:rsidP="007552C8">
            <w:r>
              <w:lastRenderedPageBreak/>
              <w:t xml:space="preserve">Target projects which </w:t>
            </w:r>
            <w:r w:rsidR="007552C8">
              <w:t>recognise that crèche facilities or support with childcare/carer resources can support participation, as can avoiding school holiday times</w:t>
            </w:r>
          </w:p>
          <w:p w:rsidR="007552C8" w:rsidRDefault="007552C8" w:rsidP="007552C8"/>
          <w:p w:rsidR="003B3342" w:rsidRDefault="000315F0" w:rsidP="000315F0">
            <w:r>
              <w:lastRenderedPageBreak/>
              <w:t xml:space="preserve">Support projects promoting equal participation &amp; activities which challenge </w:t>
            </w:r>
            <w:r w:rsidR="00A50FD4">
              <w:t>gender norms and</w:t>
            </w:r>
            <w:r>
              <w:t xml:space="preserve"> ster</w:t>
            </w:r>
            <w:r w:rsidR="00A50FD4">
              <w:t>e</w:t>
            </w:r>
            <w:r>
              <w:t>otypes e.g.  Women’s football, Young Women’ drumming group</w:t>
            </w:r>
            <w:r w:rsidR="00D1556B">
              <w:t>, women’s leadership and empowerment</w:t>
            </w:r>
            <w:r>
              <w:t>.</w:t>
            </w:r>
            <w:r w:rsidR="0035662F">
              <w:t xml:space="preserve"> </w:t>
            </w:r>
            <w:r w:rsidR="004B0809">
              <w:t xml:space="preserve"> </w:t>
            </w:r>
          </w:p>
        </w:tc>
      </w:tr>
      <w:tr w:rsidR="00325533" w:rsidTr="00B7293A">
        <w:tc>
          <w:tcPr>
            <w:tcW w:w="2196" w:type="dxa"/>
          </w:tcPr>
          <w:p w:rsidR="003B3342" w:rsidRPr="00012DAC" w:rsidRDefault="003B3342">
            <w:pPr>
              <w:rPr>
                <w:b/>
              </w:rPr>
            </w:pPr>
            <w:r w:rsidRPr="00012DAC">
              <w:rPr>
                <w:b/>
              </w:rPr>
              <w:lastRenderedPageBreak/>
              <w:t>Sexual Orientation</w:t>
            </w:r>
          </w:p>
        </w:tc>
        <w:tc>
          <w:tcPr>
            <w:tcW w:w="2206" w:type="dxa"/>
          </w:tcPr>
          <w:p w:rsidR="003B3342" w:rsidRDefault="005F7762" w:rsidP="005F7762">
            <w:r>
              <w:t xml:space="preserve">1 in 6, lesbian, gay &amp; bi people have experienced a homophobic or </w:t>
            </w:r>
            <w:proofErr w:type="spellStart"/>
            <w:r>
              <w:t>biphobic</w:t>
            </w:r>
            <w:proofErr w:type="spellEnd"/>
            <w:r>
              <w:t xml:space="preserve"> hate crime or incident over the last 3 years.  </w:t>
            </w:r>
          </w:p>
        </w:tc>
        <w:tc>
          <w:tcPr>
            <w:tcW w:w="2288" w:type="dxa"/>
          </w:tcPr>
          <w:p w:rsidR="005436CB" w:rsidRDefault="005436CB" w:rsidP="005436CB">
            <w:r>
              <w:t>Stigma and discrimination can deter LGBT people’s participation including LGBT people who do not wish to be ‘outed’.</w:t>
            </w:r>
          </w:p>
          <w:p w:rsidR="005436CB" w:rsidRDefault="005436CB" w:rsidP="005436CB"/>
          <w:p w:rsidR="003B3342" w:rsidRDefault="005436CB" w:rsidP="005436CB">
            <w:r>
              <w:t xml:space="preserve">Isolation is a major barrier for LGBT people, particularly older LGBT people.    </w:t>
            </w:r>
          </w:p>
        </w:tc>
        <w:tc>
          <w:tcPr>
            <w:tcW w:w="2552" w:type="dxa"/>
          </w:tcPr>
          <w:p w:rsidR="000315F0" w:rsidRDefault="00FB4D27" w:rsidP="005436CB">
            <w:r>
              <w:t>Grants application process to encourage initiatives targeting LGBT people in priority -regen</w:t>
            </w:r>
            <w:r w:rsidR="00055A10">
              <w:t>eration</w:t>
            </w:r>
            <w:r>
              <w:t xml:space="preserve"> areas rather than focus</w:t>
            </w:r>
            <w:r w:rsidR="007205C9">
              <w:t xml:space="preserve">sing </w:t>
            </w:r>
            <w:r>
              <w:t xml:space="preserve">on professional &amp; university circles.   </w:t>
            </w:r>
          </w:p>
          <w:p w:rsidR="000315F0" w:rsidRDefault="000315F0" w:rsidP="005436CB"/>
          <w:p w:rsidR="000315F0" w:rsidRDefault="000315F0" w:rsidP="005436CB"/>
          <w:p w:rsidR="00D84608" w:rsidRDefault="00D84608" w:rsidP="005436CB"/>
          <w:p w:rsidR="003B3342" w:rsidRDefault="00D84608" w:rsidP="00D84608">
            <w:r>
              <w:t xml:space="preserve">Grant funded projects need to be visibly and explicitly LGBT inclusive. </w:t>
            </w:r>
            <w:r w:rsidR="005436CB">
              <w:t xml:space="preserve">  </w:t>
            </w:r>
          </w:p>
        </w:tc>
      </w:tr>
      <w:tr w:rsidR="00325533" w:rsidTr="00B7293A">
        <w:tc>
          <w:tcPr>
            <w:tcW w:w="2196" w:type="dxa"/>
          </w:tcPr>
          <w:p w:rsidR="00807E22" w:rsidRPr="00012DAC" w:rsidRDefault="00807E22">
            <w:pPr>
              <w:rPr>
                <w:b/>
              </w:rPr>
            </w:pPr>
            <w:r w:rsidRPr="00012DAC">
              <w:rPr>
                <w:b/>
              </w:rPr>
              <w:t>Race &amp; Ethnicity</w:t>
            </w:r>
          </w:p>
        </w:tc>
        <w:tc>
          <w:tcPr>
            <w:tcW w:w="2206" w:type="dxa"/>
          </w:tcPr>
          <w:p w:rsidR="00807E22" w:rsidRDefault="008D1BFA" w:rsidP="005F7762">
            <w:r>
              <w:t xml:space="preserve">Ethnic penalty in the labour market, higher rates of poverty, unemployment, </w:t>
            </w:r>
            <w:proofErr w:type="gramStart"/>
            <w:r>
              <w:t>health</w:t>
            </w:r>
            <w:proofErr w:type="gramEnd"/>
            <w:r>
              <w:t xml:space="preserve"> inequalities</w:t>
            </w:r>
            <w:r w:rsidR="005F7762">
              <w:t xml:space="preserve"> linked to multiple disadvantage</w:t>
            </w:r>
            <w:r>
              <w:t xml:space="preserve"> for some ethnic minorities.</w:t>
            </w:r>
          </w:p>
        </w:tc>
        <w:tc>
          <w:tcPr>
            <w:tcW w:w="2288" w:type="dxa"/>
          </w:tcPr>
          <w:p w:rsidR="008D1BFA" w:rsidRDefault="008D1BFA" w:rsidP="008D1BFA">
            <w:r>
              <w:t>Direct &amp; indirect discrimination reduces access.</w:t>
            </w:r>
          </w:p>
          <w:p w:rsidR="00733256" w:rsidRDefault="00733256" w:rsidP="008D1BFA"/>
          <w:p w:rsidR="00733256" w:rsidRDefault="00733256" w:rsidP="00733256">
            <w:r>
              <w:t>Poor English literacy.</w:t>
            </w:r>
          </w:p>
          <w:p w:rsidR="00733256" w:rsidRDefault="00733256" w:rsidP="00733256"/>
          <w:p w:rsidR="00807E22" w:rsidRDefault="00733256" w:rsidP="005F7762">
            <w:r>
              <w:t>Knowing how systems work –</w:t>
            </w:r>
            <w:r w:rsidR="005F7762">
              <w:t xml:space="preserve"> lack of </w:t>
            </w:r>
            <w:r>
              <w:t xml:space="preserve">connections to key networks/Forums </w:t>
            </w:r>
            <w:r w:rsidR="008D1BFA">
              <w:t xml:space="preserve"> </w:t>
            </w:r>
          </w:p>
        </w:tc>
        <w:tc>
          <w:tcPr>
            <w:tcW w:w="2552" w:type="dxa"/>
          </w:tcPr>
          <w:p w:rsidR="00E31346" w:rsidRDefault="00E31346" w:rsidP="00733256">
            <w:r>
              <w:t>Grants programme to  encourage collaborative bids which foster  community cohesion from smaller ethnic minority groups  &amp; emerging communities</w:t>
            </w:r>
          </w:p>
          <w:p w:rsidR="00E31346" w:rsidRDefault="00E31346" w:rsidP="00733256"/>
          <w:p w:rsidR="00733256" w:rsidRDefault="00E31346" w:rsidP="00733256">
            <w:r>
              <w:t xml:space="preserve">How effectively are mainstream CVO’s engaging with smaller </w:t>
            </w:r>
            <w:r w:rsidR="00D076DF">
              <w:t xml:space="preserve">emerging </w:t>
            </w:r>
            <w:r w:rsidR="00733256">
              <w:t>community groups</w:t>
            </w:r>
            <w:r w:rsidR="00325533">
              <w:t xml:space="preserve"> due to lack of cultural understanding/awareness of needs.</w:t>
            </w:r>
          </w:p>
          <w:p w:rsidR="00E31346" w:rsidRDefault="00E31346" w:rsidP="00733256"/>
          <w:p w:rsidR="00E31346" w:rsidRDefault="00E31346" w:rsidP="00733256"/>
          <w:p w:rsidR="00733256" w:rsidRDefault="00733256" w:rsidP="00733256"/>
          <w:p w:rsidR="00807E22" w:rsidRDefault="00807E22" w:rsidP="00325533"/>
        </w:tc>
      </w:tr>
    </w:tbl>
    <w:p w:rsidR="003B3342" w:rsidRDefault="003B3342"/>
    <w:p w:rsidR="001C63E3" w:rsidRDefault="00D076DF">
      <w:pPr>
        <w:rPr>
          <w:b/>
        </w:rPr>
      </w:pPr>
      <w:r w:rsidRPr="00D076DF">
        <w:rPr>
          <w:b/>
        </w:rPr>
        <w:t>Recommendations:</w:t>
      </w:r>
    </w:p>
    <w:p w:rsidR="00B12986" w:rsidRDefault="005D4647" w:rsidP="009E4E31">
      <w:r w:rsidRPr="00574410">
        <w:rPr>
          <w:u w:val="single"/>
        </w:rPr>
        <w:lastRenderedPageBreak/>
        <w:t>Key recommendation</w:t>
      </w:r>
      <w:r>
        <w:t xml:space="preserve"> - Grant programme explicitly targets projects addressing </w:t>
      </w:r>
      <w:r w:rsidRPr="00203BE9">
        <w:rPr>
          <w:b/>
        </w:rPr>
        <w:t xml:space="preserve">multiple </w:t>
      </w:r>
      <w:proofErr w:type="gramStart"/>
      <w:r w:rsidRPr="00203BE9">
        <w:rPr>
          <w:b/>
        </w:rPr>
        <w:t>disadvantage</w:t>
      </w:r>
      <w:proofErr w:type="gramEnd"/>
      <w:r w:rsidRPr="00203BE9">
        <w:rPr>
          <w:b/>
        </w:rPr>
        <w:t>.</w:t>
      </w:r>
      <w:r>
        <w:t xml:space="preserve"> This aligns with national best practice</w:t>
      </w:r>
      <w:r w:rsidR="00731660">
        <w:t xml:space="preserve"> (See Annex).</w:t>
      </w:r>
      <w:r>
        <w:t xml:space="preserve"> </w:t>
      </w:r>
    </w:p>
    <w:p w:rsidR="00203BE9" w:rsidRDefault="00601C28">
      <w:r>
        <w:t>Grants Programme to</w:t>
      </w:r>
      <w:r w:rsidR="00FC753F">
        <w:t xml:space="preserve"> explicitly </w:t>
      </w:r>
      <w:r>
        <w:t>facilitate applications from equality groups currently excluded due to multiple disadvantage</w:t>
      </w:r>
    </w:p>
    <w:p w:rsidR="00FC753F" w:rsidRDefault="00D53FD5">
      <w:r>
        <w:t>S</w:t>
      </w:r>
      <w:r w:rsidR="00203BE9">
        <w:t xml:space="preserve">pecific </w:t>
      </w:r>
      <w:r>
        <w:t>support is provided to</w:t>
      </w:r>
      <w:r w:rsidR="00FC753F">
        <w:t xml:space="preserve"> grass-roots projects delivering on the ground</w:t>
      </w:r>
      <w:r>
        <w:t xml:space="preserve"> and with capacity to manage grants </w:t>
      </w:r>
      <w:r w:rsidR="00FC753F">
        <w:t>but who may not be versed in writing application forms or navigating the system.</w:t>
      </w:r>
    </w:p>
    <w:p w:rsidR="00FC753F" w:rsidRDefault="00FC753F">
      <w:r>
        <w:t>Monitoring/review process at each round of the Grants Programme by Grants</w:t>
      </w:r>
      <w:r w:rsidR="00203BE9">
        <w:t xml:space="preserve"> Team </w:t>
      </w:r>
      <w:r>
        <w:t>identifying which equality groups are under-represented as grant recipients or project beneficiaries – with planned targeting of excluded groups.</w:t>
      </w:r>
    </w:p>
    <w:p w:rsidR="003048ED" w:rsidRDefault="003048ED">
      <w:r>
        <w:t>Grant Funded projects</w:t>
      </w:r>
      <w:r w:rsidR="00B132E6">
        <w:t xml:space="preserve"> are </w:t>
      </w:r>
      <w:r>
        <w:t>required to demonstrate in applications and via grants monitoring how they are ensuring their activities are inclusive of all equality groups.</w:t>
      </w:r>
    </w:p>
    <w:p w:rsidR="00DA2C8A" w:rsidRDefault="00DA2C8A">
      <w:r>
        <w:t xml:space="preserve">Grants Programme engages Disability CVO’s </w:t>
      </w:r>
      <w:r w:rsidR="00203BE9">
        <w:t xml:space="preserve">for advice re: ensuring </w:t>
      </w:r>
      <w:r>
        <w:t>information provided is inclusive and meets Accessib</w:t>
      </w:r>
      <w:r w:rsidR="00B132E6">
        <w:t xml:space="preserve">ility </w:t>
      </w:r>
      <w:r>
        <w:t>Standards.</w:t>
      </w:r>
    </w:p>
    <w:p w:rsidR="006902B1" w:rsidRDefault="00DA2C8A">
      <w:r>
        <w:t xml:space="preserve">Grants Programme </w:t>
      </w:r>
      <w:r w:rsidR="006902B1">
        <w:t xml:space="preserve">actively </w:t>
      </w:r>
      <w:r w:rsidR="00B132E6">
        <w:t xml:space="preserve">encourages </w:t>
      </w:r>
      <w:r w:rsidR="006902B1">
        <w:t>projects</w:t>
      </w:r>
      <w:r w:rsidR="00B132E6">
        <w:t xml:space="preserve"> to </w:t>
      </w:r>
      <w:r w:rsidR="006902B1">
        <w:t>challeng</w:t>
      </w:r>
      <w:r w:rsidR="00B132E6">
        <w:t xml:space="preserve">e </w:t>
      </w:r>
      <w:r w:rsidR="006902B1">
        <w:t>gender norms, stereotypes &amp; gender based violence</w:t>
      </w:r>
      <w:r w:rsidR="00B132E6">
        <w:t>.</w:t>
      </w:r>
    </w:p>
    <w:p w:rsidR="00B132E6" w:rsidRDefault="006902B1">
      <w:r>
        <w:t>En</w:t>
      </w:r>
      <w:r w:rsidR="00B132E6">
        <w:t xml:space="preserve">courage </w:t>
      </w:r>
      <w:r>
        <w:t xml:space="preserve">LGBT CVO’s to </w:t>
      </w:r>
      <w:r w:rsidR="00B132E6">
        <w:t xml:space="preserve">engage in activities which reach out to the full cross section of the LGBT community, particularly those who may be isolated within regeneration or conservative communities. </w:t>
      </w:r>
    </w:p>
    <w:p w:rsidR="00B132E6" w:rsidRDefault="00B132E6">
      <w:r>
        <w:t xml:space="preserve">Review how we support capable organisations able to play an umbrella organisation role to support emerging minority ethnic groups to make collaborative applications for community cohesion projects. </w:t>
      </w:r>
    </w:p>
    <w:p w:rsidR="00BE10CC" w:rsidRDefault="00BE10CC">
      <w:r>
        <w:t>Actively encourage applications from initiatives promoting volunteering opportunities for key equality groups.</w:t>
      </w:r>
    </w:p>
    <w:p w:rsidR="00BE10CC" w:rsidRDefault="000D4501">
      <w:r>
        <w:t>Maintain transparency of the grants programme process funding on the basis of objective evidence</w:t>
      </w:r>
      <w:r w:rsidR="009109F5">
        <w:t xml:space="preserve"> and fair process which is applied in all circumstances. Avoid out-of-cycle decisions which have not gone through the same rigorous selection process.</w:t>
      </w:r>
    </w:p>
    <w:p w:rsidR="002C321F" w:rsidRPr="009E4E31" w:rsidRDefault="00275C0F">
      <w:pPr>
        <w:rPr>
          <w:b/>
          <w:u w:val="single"/>
        </w:rPr>
      </w:pPr>
      <w:r>
        <w:rPr>
          <w:b/>
          <w:u w:val="single"/>
        </w:rPr>
        <w:t xml:space="preserve">Evidence </w:t>
      </w:r>
      <w:r w:rsidR="002C321F" w:rsidRPr="009E4E31">
        <w:rPr>
          <w:b/>
          <w:u w:val="single"/>
        </w:rPr>
        <w:t>Annex</w:t>
      </w:r>
      <w:r>
        <w:rPr>
          <w:b/>
          <w:u w:val="single"/>
        </w:rPr>
        <w:t xml:space="preserve">: </w:t>
      </w:r>
      <w:r w:rsidR="002C321F" w:rsidRPr="009E4E31">
        <w:rPr>
          <w:b/>
          <w:u w:val="single"/>
        </w:rPr>
        <w:t xml:space="preserve"> </w:t>
      </w:r>
    </w:p>
    <w:p w:rsidR="00497F65" w:rsidRDefault="00497F65">
      <w:r w:rsidRPr="009E4E31">
        <w:rPr>
          <w:b/>
        </w:rPr>
        <w:t xml:space="preserve">Age </w:t>
      </w:r>
    </w:p>
    <w:p w:rsidR="00497F65" w:rsidRPr="009E4E31" w:rsidRDefault="00497F65">
      <w:pPr>
        <w:rPr>
          <w:b/>
        </w:rPr>
      </w:pPr>
      <w:r w:rsidRPr="009E4E31">
        <w:rPr>
          <w:b/>
        </w:rPr>
        <w:t>Older people</w:t>
      </w:r>
    </w:p>
    <w:p w:rsidR="00497F65" w:rsidRDefault="00497F65" w:rsidP="009E4E31">
      <w:pPr>
        <w:pStyle w:val="ListParagraph"/>
        <w:numPr>
          <w:ilvl w:val="0"/>
          <w:numId w:val="1"/>
        </w:numPr>
      </w:pPr>
      <w:r>
        <w:t>Oxford Older People’s Needs Analysis (2013)</w:t>
      </w:r>
    </w:p>
    <w:p w:rsidR="009B6ED2" w:rsidRDefault="009B6ED2" w:rsidP="009E4E31">
      <w:pPr>
        <w:pStyle w:val="ListParagraph"/>
        <w:numPr>
          <w:ilvl w:val="0"/>
          <w:numId w:val="1"/>
        </w:numPr>
      </w:pPr>
      <w:r>
        <w:t xml:space="preserve">Report of the Inequality Panel (Oxford City Council, 2015) </w:t>
      </w:r>
    </w:p>
    <w:p w:rsidR="00497F65" w:rsidRDefault="00497F65" w:rsidP="009E4E31">
      <w:pPr>
        <w:pStyle w:val="ListParagraph"/>
        <w:numPr>
          <w:ilvl w:val="0"/>
          <w:numId w:val="1"/>
        </w:numPr>
      </w:pPr>
      <w:r>
        <w:t>English Indices of Deprivation 2015</w:t>
      </w:r>
    </w:p>
    <w:p w:rsidR="00497F65" w:rsidRDefault="00497F65" w:rsidP="009E4E31">
      <w:pPr>
        <w:pStyle w:val="ListParagraph"/>
        <w:numPr>
          <w:ilvl w:val="0"/>
          <w:numId w:val="1"/>
        </w:numPr>
      </w:pPr>
      <w:r>
        <w:t>Age UK:  Engaging with Older People Evidence Review.</w:t>
      </w:r>
    </w:p>
    <w:p w:rsidR="009E4E31" w:rsidRDefault="009E4E31"/>
    <w:p w:rsidR="00EC059B" w:rsidRPr="009E4E31" w:rsidRDefault="00497F65">
      <w:pPr>
        <w:rPr>
          <w:b/>
        </w:rPr>
      </w:pPr>
      <w:r w:rsidRPr="009E4E31">
        <w:rPr>
          <w:b/>
        </w:rPr>
        <w:t xml:space="preserve">Children &amp; Young people </w:t>
      </w:r>
    </w:p>
    <w:p w:rsidR="00351D29" w:rsidRDefault="00EC059B" w:rsidP="009E4E31">
      <w:pPr>
        <w:pStyle w:val="ListParagraph"/>
        <w:numPr>
          <w:ilvl w:val="0"/>
          <w:numId w:val="2"/>
        </w:numPr>
      </w:pPr>
      <w:r>
        <w:t>Oxford City Children &amp; Young People’s Needs Analysis (2013)</w:t>
      </w:r>
    </w:p>
    <w:p w:rsidR="00351D29" w:rsidRDefault="00351D29" w:rsidP="009E4E31">
      <w:pPr>
        <w:pStyle w:val="ListParagraph"/>
        <w:numPr>
          <w:ilvl w:val="0"/>
          <w:numId w:val="2"/>
        </w:numPr>
      </w:pPr>
      <w:r>
        <w:t>Oxfordshire JSNA 2016</w:t>
      </w:r>
    </w:p>
    <w:p w:rsidR="009E4E31" w:rsidRDefault="009E4E31"/>
    <w:p w:rsidR="00351D29" w:rsidRPr="00275C0F" w:rsidRDefault="00351D29">
      <w:pPr>
        <w:rPr>
          <w:b/>
        </w:rPr>
      </w:pPr>
      <w:r w:rsidRPr="00275C0F">
        <w:rPr>
          <w:b/>
        </w:rPr>
        <w:lastRenderedPageBreak/>
        <w:t xml:space="preserve">Disability </w:t>
      </w:r>
    </w:p>
    <w:p w:rsidR="00351D29" w:rsidRDefault="00351D29" w:rsidP="009E4E31">
      <w:pPr>
        <w:pStyle w:val="ListParagraph"/>
        <w:numPr>
          <w:ilvl w:val="0"/>
          <w:numId w:val="3"/>
        </w:numPr>
      </w:pPr>
      <w:r>
        <w:t xml:space="preserve">Disability Rights UK: Inclusive Communities - A Research Report (2014) </w:t>
      </w:r>
    </w:p>
    <w:p w:rsidR="00351D29" w:rsidRDefault="00351D29" w:rsidP="009E4E31">
      <w:pPr>
        <w:pStyle w:val="ListParagraph"/>
        <w:numPr>
          <w:ilvl w:val="0"/>
          <w:numId w:val="3"/>
        </w:numPr>
      </w:pPr>
      <w:r>
        <w:t xml:space="preserve">Oxfordshire JSNA 2016 – </w:t>
      </w:r>
      <w:r w:rsidRPr="009E4E31">
        <w:rPr>
          <w:i/>
        </w:rPr>
        <w:t>18, 850 people in Oxford said they suffered from a limiting long term, illness or disability – 12% of the population.</w:t>
      </w:r>
    </w:p>
    <w:p w:rsidR="00721EFC" w:rsidRPr="00275C0F" w:rsidRDefault="00721EFC">
      <w:pPr>
        <w:rPr>
          <w:b/>
        </w:rPr>
      </w:pPr>
      <w:r w:rsidRPr="00275C0F">
        <w:rPr>
          <w:b/>
        </w:rPr>
        <w:t>Gender</w:t>
      </w:r>
    </w:p>
    <w:p w:rsidR="00721EFC" w:rsidRDefault="00721EFC" w:rsidP="009E4E31">
      <w:pPr>
        <w:pStyle w:val="ListParagraph"/>
        <w:numPr>
          <w:ilvl w:val="0"/>
          <w:numId w:val="4"/>
        </w:numPr>
      </w:pPr>
      <w:r>
        <w:t>“</w:t>
      </w:r>
      <w:r w:rsidRPr="00BE2BED">
        <w:rPr>
          <w:i/>
        </w:rPr>
        <w:t>Women are at greater risk of poverty than men and are more likely to suffer recurrent and longer spells of poverty (22% of women have a persistent low income compared to 14% of men)”</w:t>
      </w:r>
      <w:r>
        <w:t xml:space="preserve"> – </w:t>
      </w:r>
      <w:r w:rsidRPr="00BE2BED">
        <w:rPr>
          <w:b/>
        </w:rPr>
        <w:t>‘Closing the Gender Pay Gap’, Government Equalities Office (2016</w:t>
      </w:r>
      <w:r>
        <w:t xml:space="preserve">)   </w:t>
      </w:r>
    </w:p>
    <w:p w:rsidR="00BB69E2" w:rsidRDefault="00721EFC" w:rsidP="009E4E31">
      <w:pPr>
        <w:pStyle w:val="ListParagraph"/>
        <w:numPr>
          <w:ilvl w:val="0"/>
          <w:numId w:val="4"/>
        </w:numPr>
      </w:pPr>
      <w:r>
        <w:t>Bangladeshi &amp; Pakistani groups have the widest gap with just 31&amp; of women in employment compared to 67</w:t>
      </w:r>
      <w:r w:rsidR="00BB69E2">
        <w:t xml:space="preserve">% for men.  – ‘Closing the Gender Pay Gap’ (2016) </w:t>
      </w:r>
    </w:p>
    <w:p w:rsidR="00BB69E2" w:rsidRDefault="00BB69E2" w:rsidP="00BE2BED">
      <w:pPr>
        <w:pStyle w:val="ListParagraph"/>
        <w:numPr>
          <w:ilvl w:val="0"/>
          <w:numId w:val="4"/>
        </w:numPr>
      </w:pPr>
      <w:r>
        <w:t>Employment opportunities for Muslims in the UK (2016-17, House of Commons Women &amp; Equalities Committee).</w:t>
      </w:r>
    </w:p>
    <w:p w:rsidR="00043D59" w:rsidRDefault="00043D59" w:rsidP="00BE2BED">
      <w:pPr>
        <w:pStyle w:val="ListParagraph"/>
        <w:numPr>
          <w:ilvl w:val="0"/>
          <w:numId w:val="4"/>
        </w:numPr>
      </w:pPr>
      <w:r>
        <w:t>Ending Violence Against Women and Girls Strategy 2016-2020 (HM Government)</w:t>
      </w:r>
    </w:p>
    <w:p w:rsidR="00043D59" w:rsidRPr="00275C0F" w:rsidRDefault="00043D59" w:rsidP="00BE2BED">
      <w:pPr>
        <w:pStyle w:val="ListParagraph"/>
        <w:numPr>
          <w:ilvl w:val="0"/>
          <w:numId w:val="4"/>
        </w:numPr>
        <w:rPr>
          <w:b/>
        </w:rPr>
      </w:pPr>
      <w:r w:rsidRPr="00275C0F">
        <w:rPr>
          <w:i/>
        </w:rPr>
        <w:t>“Gender norms and stereotypes are holding young women back”</w:t>
      </w:r>
      <w:r>
        <w:t xml:space="preserve"> </w:t>
      </w:r>
      <w:r w:rsidRPr="00275C0F">
        <w:rPr>
          <w:b/>
        </w:rPr>
        <w:t>– Sounds Familiar, Fawcett Society Report 2017.</w:t>
      </w:r>
    </w:p>
    <w:p w:rsidR="00497F65" w:rsidRPr="00275C0F" w:rsidRDefault="00351D29">
      <w:pPr>
        <w:rPr>
          <w:b/>
        </w:rPr>
      </w:pPr>
      <w:r w:rsidRPr="00275C0F">
        <w:rPr>
          <w:b/>
        </w:rPr>
        <w:t xml:space="preserve">Gender reassignment </w:t>
      </w:r>
    </w:p>
    <w:p w:rsidR="00DD2292" w:rsidRDefault="00DD2292" w:rsidP="00BE2BED">
      <w:pPr>
        <w:pStyle w:val="ListParagraph"/>
        <w:numPr>
          <w:ilvl w:val="0"/>
          <w:numId w:val="5"/>
        </w:numPr>
      </w:pPr>
      <w:r w:rsidRPr="00275C0F">
        <w:rPr>
          <w:i/>
        </w:rPr>
        <w:t>“</w:t>
      </w:r>
      <w:proofErr w:type="gramStart"/>
      <w:r w:rsidRPr="00275C0F">
        <w:rPr>
          <w:i/>
        </w:rPr>
        <w:t>being</w:t>
      </w:r>
      <w:proofErr w:type="gramEnd"/>
      <w:r w:rsidRPr="00275C0F">
        <w:rPr>
          <w:i/>
        </w:rPr>
        <w:t xml:space="preserve"> transgender is linked to greater risk of self-harm and thoughts of suicide”</w:t>
      </w:r>
      <w:r>
        <w:t xml:space="preserve"> (Oxfordshire JSNA, 2016).</w:t>
      </w:r>
    </w:p>
    <w:p w:rsidR="00DE7869" w:rsidRDefault="00DE7869" w:rsidP="00BE2BED">
      <w:pPr>
        <w:pStyle w:val="ListParagraph"/>
        <w:numPr>
          <w:ilvl w:val="0"/>
          <w:numId w:val="5"/>
        </w:numPr>
      </w:pPr>
      <w:r>
        <w:t>First Steps to Trans Inclusion: An Introduction Stonewall (2016).</w:t>
      </w:r>
    </w:p>
    <w:p w:rsidR="00DE7869" w:rsidRPr="00275C0F" w:rsidRDefault="00DE7869">
      <w:pPr>
        <w:rPr>
          <w:b/>
        </w:rPr>
      </w:pPr>
      <w:r w:rsidRPr="00275C0F">
        <w:rPr>
          <w:b/>
        </w:rPr>
        <w:t xml:space="preserve">Marriage &amp; Civil Partnership </w:t>
      </w:r>
    </w:p>
    <w:p w:rsidR="00DE7869" w:rsidRDefault="00DE7869" w:rsidP="00BE2BED">
      <w:pPr>
        <w:pStyle w:val="ListParagraph"/>
        <w:numPr>
          <w:ilvl w:val="0"/>
          <w:numId w:val="6"/>
        </w:numPr>
      </w:pPr>
      <w:r>
        <w:t>Oxfordshire JSNA (2016)</w:t>
      </w:r>
    </w:p>
    <w:p w:rsidR="00DE7869" w:rsidRPr="00275C0F" w:rsidRDefault="00DE7869">
      <w:pPr>
        <w:rPr>
          <w:b/>
        </w:rPr>
      </w:pPr>
      <w:r w:rsidRPr="00275C0F">
        <w:rPr>
          <w:b/>
        </w:rPr>
        <w:t xml:space="preserve">Pregnancy &amp; Maternity </w:t>
      </w:r>
    </w:p>
    <w:p w:rsidR="00DE7869" w:rsidRDefault="00DE7869" w:rsidP="00BE2BED">
      <w:pPr>
        <w:pStyle w:val="ListParagraph"/>
        <w:numPr>
          <w:ilvl w:val="0"/>
          <w:numId w:val="6"/>
        </w:numPr>
      </w:pPr>
      <w:r>
        <w:t xml:space="preserve">Oxfordshire JSNA (2016) </w:t>
      </w:r>
    </w:p>
    <w:p w:rsidR="001753F3" w:rsidRDefault="001753F3" w:rsidP="00BE2BED">
      <w:pPr>
        <w:pStyle w:val="ListParagraph"/>
        <w:numPr>
          <w:ilvl w:val="0"/>
          <w:numId w:val="6"/>
        </w:numPr>
      </w:pPr>
      <w:r>
        <w:t xml:space="preserve">Maternity Action – </w:t>
      </w:r>
      <w:hyperlink r:id="rId6" w:history="1">
        <w:r w:rsidRPr="00BC063F">
          <w:rPr>
            <w:rStyle w:val="Hyperlink"/>
          </w:rPr>
          <w:t>http://www.maternityaction.org.uk</w:t>
        </w:r>
      </w:hyperlink>
    </w:p>
    <w:p w:rsidR="001753F3" w:rsidRPr="00275C0F" w:rsidRDefault="001753F3">
      <w:pPr>
        <w:rPr>
          <w:b/>
        </w:rPr>
      </w:pPr>
      <w:r w:rsidRPr="00275C0F">
        <w:rPr>
          <w:b/>
        </w:rPr>
        <w:t xml:space="preserve">Sexual Orientation </w:t>
      </w:r>
    </w:p>
    <w:p w:rsidR="001753F3" w:rsidRDefault="001753F3" w:rsidP="00BE2BED">
      <w:pPr>
        <w:pStyle w:val="ListParagraph"/>
        <w:numPr>
          <w:ilvl w:val="0"/>
          <w:numId w:val="7"/>
        </w:numPr>
      </w:pPr>
      <w:r>
        <w:t>Oxfordshire JSNA 2016</w:t>
      </w:r>
    </w:p>
    <w:p w:rsidR="009B6ED2" w:rsidRDefault="009B6ED2" w:rsidP="00BE2BED">
      <w:pPr>
        <w:pStyle w:val="ListParagraph"/>
        <w:numPr>
          <w:ilvl w:val="0"/>
          <w:numId w:val="7"/>
        </w:numPr>
      </w:pPr>
      <w:r>
        <w:t>Lesbian, Gay &amp; Bisexual People’s Experiences of Discrimination, Stonewall (2013).</w:t>
      </w:r>
    </w:p>
    <w:p w:rsidR="009B6ED2" w:rsidRPr="00275C0F" w:rsidRDefault="009B6ED2">
      <w:pPr>
        <w:rPr>
          <w:b/>
        </w:rPr>
      </w:pPr>
      <w:r w:rsidRPr="00275C0F">
        <w:rPr>
          <w:b/>
        </w:rPr>
        <w:t>Race and Ethnicity</w:t>
      </w:r>
    </w:p>
    <w:p w:rsidR="009E4E31" w:rsidRDefault="009E4E31" w:rsidP="00BE2BED">
      <w:pPr>
        <w:pStyle w:val="ListParagraph"/>
        <w:numPr>
          <w:ilvl w:val="0"/>
          <w:numId w:val="8"/>
        </w:numPr>
      </w:pPr>
      <w:r>
        <w:t xml:space="preserve">Centre on dynamics of diversity – </w:t>
      </w:r>
      <w:hyperlink r:id="rId7" w:history="1">
        <w:r w:rsidRPr="007E0FE6">
          <w:rPr>
            <w:rStyle w:val="Hyperlink"/>
          </w:rPr>
          <w:t>www.ac.uk/research/outputs/briefings/dynamics-of-diversity</w:t>
        </w:r>
      </w:hyperlink>
    </w:p>
    <w:p w:rsidR="008858E0" w:rsidRDefault="009B6ED2" w:rsidP="00BE2BED">
      <w:pPr>
        <w:pStyle w:val="ListParagraph"/>
        <w:numPr>
          <w:ilvl w:val="0"/>
          <w:numId w:val="8"/>
        </w:numPr>
      </w:pPr>
      <w:r>
        <w:t xml:space="preserve">Assessment of the </w:t>
      </w:r>
      <w:r w:rsidR="008858E0">
        <w:t>O</w:t>
      </w:r>
      <w:r>
        <w:t xml:space="preserve">rganisational </w:t>
      </w:r>
      <w:r w:rsidR="008858E0">
        <w:t>Development Needs of Communities of Refugees in Oxford (Asylum Welcome, 2017)</w:t>
      </w:r>
    </w:p>
    <w:p w:rsidR="008858E0" w:rsidRDefault="008858E0" w:rsidP="00BE2BED">
      <w:pPr>
        <w:pStyle w:val="ListParagraph"/>
        <w:numPr>
          <w:ilvl w:val="0"/>
          <w:numId w:val="8"/>
        </w:numPr>
      </w:pPr>
      <w:r>
        <w:t>Primary Health Care Services for refugees, asylum seekers &amp; vulnerable migrants in Oxfordshire (Refugee Resource, 2016)</w:t>
      </w:r>
    </w:p>
    <w:p w:rsidR="009B6ED2" w:rsidRDefault="008858E0" w:rsidP="00BE2BED">
      <w:pPr>
        <w:pStyle w:val="ListParagraph"/>
        <w:numPr>
          <w:ilvl w:val="0"/>
          <w:numId w:val="8"/>
        </w:numPr>
      </w:pPr>
      <w:r>
        <w:t xml:space="preserve">The Asian Women’s Wellbeing Project (Oxfordshire </w:t>
      </w:r>
      <w:proofErr w:type="spellStart"/>
      <w:r>
        <w:t>Healthwatch</w:t>
      </w:r>
      <w:proofErr w:type="spellEnd"/>
      <w:r>
        <w:t xml:space="preserve">  Report 2014)   </w:t>
      </w:r>
      <w:r w:rsidR="009B6ED2">
        <w:t xml:space="preserve">  </w:t>
      </w:r>
    </w:p>
    <w:p w:rsidR="009B6ED2" w:rsidRDefault="009B6ED2" w:rsidP="00BE2BED">
      <w:pPr>
        <w:pStyle w:val="ListParagraph"/>
        <w:numPr>
          <w:ilvl w:val="0"/>
          <w:numId w:val="8"/>
        </w:numPr>
      </w:pPr>
      <w:r>
        <w:t>Oxfordshire Health Inequalities Commission Report (2016)</w:t>
      </w:r>
    </w:p>
    <w:p w:rsidR="009E4E31" w:rsidRPr="009E4E31" w:rsidRDefault="009E4E31">
      <w:pPr>
        <w:rPr>
          <w:b/>
        </w:rPr>
      </w:pPr>
      <w:r w:rsidRPr="009E4E31">
        <w:rPr>
          <w:b/>
        </w:rPr>
        <w:t xml:space="preserve">Best Practice Examples: </w:t>
      </w:r>
    </w:p>
    <w:p w:rsidR="009E4E31" w:rsidRDefault="009E4E31" w:rsidP="009E4E31">
      <w:r>
        <w:t xml:space="preserve"> </w:t>
      </w:r>
      <w:r w:rsidRPr="00BE2BED">
        <w:rPr>
          <w:i/>
        </w:rPr>
        <w:t xml:space="preserve">“Some people such as Black &amp; minority ethnic people, disabled people, women, lesbian, gay and bisexual people, transgender people, young people and older people are more likely to face </w:t>
      </w:r>
      <w:r w:rsidRPr="00BE2BED">
        <w:rPr>
          <w:i/>
        </w:rPr>
        <w:lastRenderedPageBreak/>
        <w:t xml:space="preserve">disadvantage. Within these groups there are people who face multiple </w:t>
      </w:r>
      <w:proofErr w:type="gramStart"/>
      <w:r w:rsidRPr="00BE2BED">
        <w:rPr>
          <w:i/>
        </w:rPr>
        <w:t>disadvantage</w:t>
      </w:r>
      <w:proofErr w:type="gramEnd"/>
      <w:r w:rsidRPr="00BE2BED">
        <w:rPr>
          <w:i/>
        </w:rPr>
        <w:t xml:space="preserve"> as a result of the systems (e.g. financial, social, educational, and class systems) as a result of historic, economic and geographical factors in our city and as a result of discrimination.”</w:t>
      </w:r>
      <w:r>
        <w:t xml:space="preserve"> </w:t>
      </w:r>
      <w:proofErr w:type="gramStart"/>
      <w:r>
        <w:t>– (Bristol City Council VCS Grants Prospectus 2017).</w:t>
      </w:r>
      <w:proofErr w:type="gramEnd"/>
    </w:p>
    <w:p w:rsidR="009E4E31" w:rsidRDefault="009E4E31" w:rsidP="009E4E31">
      <w:r w:rsidRPr="00BE2BED">
        <w:rPr>
          <w:b/>
        </w:rPr>
        <w:t xml:space="preserve">“Why Multiple”? </w:t>
      </w:r>
      <w:r>
        <w:t>– “</w:t>
      </w:r>
      <w:r w:rsidRPr="00BE2BED">
        <w:rPr>
          <w:i/>
        </w:rPr>
        <w:t>There is rarely ever one problem in isolation. People are usually hit by a number of linked problems at once, including homelessness, substance misuse, mental illness, extreme poverty</w:t>
      </w:r>
      <w:proofErr w:type="gramStart"/>
      <w:r w:rsidRPr="00BE2BED">
        <w:rPr>
          <w:i/>
        </w:rPr>
        <w:t>,  and</w:t>
      </w:r>
      <w:proofErr w:type="gramEnd"/>
      <w:r w:rsidRPr="00BE2BED">
        <w:rPr>
          <w:i/>
        </w:rPr>
        <w:t xml:space="preserve"> violence and abuse…For example homeless people are rarely just homeless. Our research shows that two thirds of people in homelessness systems are also in drug treatment and/or criminal justice systems.”</w:t>
      </w:r>
      <w:r>
        <w:t xml:space="preserve"> </w:t>
      </w:r>
      <w:hyperlink r:id="rId8" w:history="1">
        <w:r w:rsidRPr="000648F9">
          <w:rPr>
            <w:rStyle w:val="Hyperlink"/>
          </w:rPr>
          <w:t>http://lankellychase.org/multiple-disadvantage/</w:t>
        </w:r>
      </w:hyperlink>
    </w:p>
    <w:p w:rsidR="009B6ED2" w:rsidRDefault="009B6ED2"/>
    <w:p w:rsidR="009B6ED2" w:rsidRDefault="009B6ED2">
      <w:r>
        <w:t xml:space="preserve"> </w:t>
      </w:r>
    </w:p>
    <w:p w:rsidR="009B6ED2" w:rsidRDefault="009B6ED2">
      <w:r>
        <w:t xml:space="preserve">   </w:t>
      </w:r>
    </w:p>
    <w:p w:rsidR="001753F3" w:rsidRDefault="001753F3"/>
    <w:p w:rsidR="001753F3" w:rsidRDefault="001753F3"/>
    <w:p w:rsidR="00DE7869" w:rsidRDefault="00DE7869"/>
    <w:p w:rsidR="00DE7869" w:rsidRDefault="00DE7869"/>
    <w:p w:rsidR="00DD2292" w:rsidRDefault="00DD2292"/>
    <w:p w:rsidR="00351D29" w:rsidRDefault="00351D29"/>
    <w:p w:rsidR="00497F65" w:rsidRDefault="00497F65">
      <w:r>
        <w:t xml:space="preserve">  </w:t>
      </w:r>
    </w:p>
    <w:p w:rsidR="00497F65" w:rsidRDefault="00497F65"/>
    <w:p w:rsidR="00BE10CC" w:rsidRDefault="00BE10CC">
      <w:r>
        <w:t xml:space="preserve"> </w:t>
      </w:r>
    </w:p>
    <w:p w:rsidR="00BE10CC" w:rsidRDefault="00BE10CC">
      <w:r>
        <w:t xml:space="preserve">  </w:t>
      </w:r>
    </w:p>
    <w:p w:rsidR="00BE10CC" w:rsidRDefault="00BE10CC"/>
    <w:p w:rsidR="00DA2C8A" w:rsidRDefault="006902B1">
      <w:r>
        <w:t xml:space="preserve">   </w:t>
      </w:r>
    </w:p>
    <w:p w:rsidR="00DA2C8A" w:rsidRDefault="00DA2C8A">
      <w:r>
        <w:t xml:space="preserve">  </w:t>
      </w:r>
    </w:p>
    <w:p w:rsidR="00EB2DE3" w:rsidRDefault="00731660">
      <w:r>
        <w:t xml:space="preserve"> </w:t>
      </w:r>
      <w:r w:rsidR="003048ED">
        <w:t xml:space="preserve"> </w:t>
      </w:r>
    </w:p>
    <w:p w:rsidR="003048ED" w:rsidRDefault="003048ED"/>
    <w:p w:rsidR="00EB2DE3" w:rsidRDefault="00EB2DE3"/>
    <w:p w:rsidR="00FC753F" w:rsidRDefault="00FC753F"/>
    <w:p w:rsidR="00601C28" w:rsidRDefault="00FC753F">
      <w:r>
        <w:t xml:space="preserve">  </w:t>
      </w:r>
    </w:p>
    <w:p w:rsidR="00B12986" w:rsidRDefault="00B12986"/>
    <w:p w:rsidR="00D076DF" w:rsidRDefault="00B12986">
      <w:r>
        <w:t xml:space="preserve"> </w:t>
      </w:r>
      <w:r w:rsidR="00574410">
        <w:t xml:space="preserve">   </w:t>
      </w:r>
      <w:r w:rsidR="005D4647">
        <w:t xml:space="preserve"> </w:t>
      </w:r>
    </w:p>
    <w:p w:rsidR="00D076DF" w:rsidRDefault="00D076DF"/>
    <w:p w:rsidR="00D076DF" w:rsidRDefault="00D076DF"/>
    <w:sectPr w:rsidR="00D07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7A"/>
    <w:multiLevelType w:val="hybridMultilevel"/>
    <w:tmpl w:val="5B48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1EC"/>
    <w:multiLevelType w:val="hybridMultilevel"/>
    <w:tmpl w:val="89C6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19D"/>
    <w:multiLevelType w:val="hybridMultilevel"/>
    <w:tmpl w:val="1F82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6C7"/>
    <w:multiLevelType w:val="hybridMultilevel"/>
    <w:tmpl w:val="2AA0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60D1"/>
    <w:multiLevelType w:val="hybridMultilevel"/>
    <w:tmpl w:val="8362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6CA9"/>
    <w:multiLevelType w:val="hybridMultilevel"/>
    <w:tmpl w:val="19FA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4D6"/>
    <w:multiLevelType w:val="hybridMultilevel"/>
    <w:tmpl w:val="0608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F4C77"/>
    <w:multiLevelType w:val="hybridMultilevel"/>
    <w:tmpl w:val="FF72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47CAD"/>
    <w:multiLevelType w:val="hybridMultilevel"/>
    <w:tmpl w:val="478A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2"/>
    <w:rsid w:val="00012DAC"/>
    <w:rsid w:val="000315F0"/>
    <w:rsid w:val="00031B18"/>
    <w:rsid w:val="00043D59"/>
    <w:rsid w:val="00055A10"/>
    <w:rsid w:val="000D4501"/>
    <w:rsid w:val="001753F3"/>
    <w:rsid w:val="00195B6D"/>
    <w:rsid w:val="001C63E3"/>
    <w:rsid w:val="001D032E"/>
    <w:rsid w:val="001D6FFE"/>
    <w:rsid w:val="001F006D"/>
    <w:rsid w:val="00203BE9"/>
    <w:rsid w:val="002173F6"/>
    <w:rsid w:val="0023541E"/>
    <w:rsid w:val="00242C10"/>
    <w:rsid w:val="00275C0F"/>
    <w:rsid w:val="002C0BD0"/>
    <w:rsid w:val="002C321F"/>
    <w:rsid w:val="002C4C95"/>
    <w:rsid w:val="003048ED"/>
    <w:rsid w:val="00325533"/>
    <w:rsid w:val="00351D29"/>
    <w:rsid w:val="0035662F"/>
    <w:rsid w:val="00363693"/>
    <w:rsid w:val="00394538"/>
    <w:rsid w:val="003B3342"/>
    <w:rsid w:val="00497F65"/>
    <w:rsid w:val="004B0809"/>
    <w:rsid w:val="004B64CA"/>
    <w:rsid w:val="0050193C"/>
    <w:rsid w:val="005266F3"/>
    <w:rsid w:val="005436CB"/>
    <w:rsid w:val="00553FC1"/>
    <w:rsid w:val="00562794"/>
    <w:rsid w:val="00574410"/>
    <w:rsid w:val="00590AD2"/>
    <w:rsid w:val="005D4647"/>
    <w:rsid w:val="005F7762"/>
    <w:rsid w:val="00601C28"/>
    <w:rsid w:val="00671A92"/>
    <w:rsid w:val="00671EC3"/>
    <w:rsid w:val="006902B1"/>
    <w:rsid w:val="006E3292"/>
    <w:rsid w:val="007205C9"/>
    <w:rsid w:val="00721EFC"/>
    <w:rsid w:val="00731660"/>
    <w:rsid w:val="00733256"/>
    <w:rsid w:val="007552C8"/>
    <w:rsid w:val="00784B56"/>
    <w:rsid w:val="00807E22"/>
    <w:rsid w:val="00850012"/>
    <w:rsid w:val="008858E0"/>
    <w:rsid w:val="008934C8"/>
    <w:rsid w:val="008D1BFA"/>
    <w:rsid w:val="008F00C0"/>
    <w:rsid w:val="009109F5"/>
    <w:rsid w:val="00966CC0"/>
    <w:rsid w:val="009B6ED2"/>
    <w:rsid w:val="009E4E31"/>
    <w:rsid w:val="009F0869"/>
    <w:rsid w:val="00A50FD4"/>
    <w:rsid w:val="00A56F07"/>
    <w:rsid w:val="00AE4CA7"/>
    <w:rsid w:val="00B12986"/>
    <w:rsid w:val="00B132E6"/>
    <w:rsid w:val="00B7293A"/>
    <w:rsid w:val="00BB69E2"/>
    <w:rsid w:val="00BE10CC"/>
    <w:rsid w:val="00BE2BED"/>
    <w:rsid w:val="00C44AB3"/>
    <w:rsid w:val="00CA14FA"/>
    <w:rsid w:val="00CF2748"/>
    <w:rsid w:val="00CF6B5F"/>
    <w:rsid w:val="00D076DF"/>
    <w:rsid w:val="00D11F35"/>
    <w:rsid w:val="00D1556B"/>
    <w:rsid w:val="00D35F64"/>
    <w:rsid w:val="00D410F8"/>
    <w:rsid w:val="00D53FD5"/>
    <w:rsid w:val="00D84608"/>
    <w:rsid w:val="00DA2C8A"/>
    <w:rsid w:val="00DD2292"/>
    <w:rsid w:val="00DE02BD"/>
    <w:rsid w:val="00DE7869"/>
    <w:rsid w:val="00E31346"/>
    <w:rsid w:val="00E564CA"/>
    <w:rsid w:val="00E56593"/>
    <w:rsid w:val="00E747E9"/>
    <w:rsid w:val="00EB2DE3"/>
    <w:rsid w:val="00EC059B"/>
    <w:rsid w:val="00EE01D0"/>
    <w:rsid w:val="00EE4AAF"/>
    <w:rsid w:val="00F03A37"/>
    <w:rsid w:val="00F516CF"/>
    <w:rsid w:val="00FB4D27"/>
    <w:rsid w:val="00FB78DC"/>
    <w:rsid w:val="00FC753F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kellychase.org/multiple-disadvanta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.uk/research/outputs/briefings/dynamics-of-d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nityaction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5F833819</Template>
  <TotalTime>1</TotalTime>
  <Pages>7</Pages>
  <Words>1705</Words>
  <Characters>9724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JMitchell</cp:lastModifiedBy>
  <cp:revision>2</cp:revision>
  <cp:lastPrinted>2017-03-16T11:47:00Z</cp:lastPrinted>
  <dcterms:created xsi:type="dcterms:W3CDTF">2017-10-23T08:48:00Z</dcterms:created>
  <dcterms:modified xsi:type="dcterms:W3CDTF">2017-10-23T08:48:00Z</dcterms:modified>
</cp:coreProperties>
</file>